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mi925l38lt9k" w:id="0"/>
      <w:bookmarkEnd w:id="0"/>
      <w:r w:rsidDel="00000000" w:rsidR="00000000" w:rsidRPr="00000000">
        <w:rPr>
          <w:rtl w:val="0"/>
        </w:rPr>
        <w:t xml:space="preserve">Post-Rollout Survey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spacing w:after="100" w:before="100" w:lineRule="auto"/>
              <w:rPr/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Pro tips: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Mix Likert-style questions (1-5 ratings) with open-ended questions for a mix of qualitative and data-driven feedback.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Keep responses anonymous.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7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Send the first survey in the first 30 days to capture a baseline, and follow up after the first quarter.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Gauge user adoption, satisfaction, and overall impact of your rollout.</w:t>
      </w:r>
    </w:p>
    <w:p w:rsidR="00000000" w:rsidDel="00000000" w:rsidP="00000000" w:rsidRDefault="00000000" w:rsidRPr="00000000" w14:paraId="00000008">
      <w:pPr>
        <w:pStyle w:val="Heading2"/>
        <w:spacing w:after="100" w:before="300" w:lineRule="auto"/>
        <w:rPr>
          <w:b w:val="1"/>
          <w:bCs w:val="1"/>
        </w:rPr>
      </w:pPr>
      <w:bookmarkStart w:colFirst="0" w:colLast="0" w:name="_pemdi08z9bkz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EMPLOYEE QUESTION IDEAS: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On a scale of 1-5, how satisfied are you with Bridge?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What part of Bridge is most beneficial to you? 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To what extent do you agree with the following statement: “I have access to all of the tools I need to develop and grow within this company.” (1-5)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Are you and your manager using Bridge for your 1on1 discussions? 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Bridge 1on1s are helping me have better conversations with my manager. (Strongly agree, agree, neutral, disagree, strongly disagree)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I feel confident that I can set meaningful goals that are aligned with the company.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On a scale of 1-5, how would you rate your ability to find your learning in Bridge?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Anything else you want to share [open-ended]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after="100" w:before="300" w:lineRule="auto"/>
        <w:rPr>
          <w:b w:val="1"/>
          <w:bCs w:val="1"/>
          <w:sz w:val="28"/>
          <w:szCs w:val="28"/>
        </w:rPr>
      </w:pPr>
      <w:bookmarkStart w:colFirst="0" w:colLast="0" w:name="_asutfz39bodn" w:id="2"/>
      <w:bookmarkEnd w:id="2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ADDITIONAL QUESTIONS FOR MANAGERS: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Has Bridge made it easier to understand your team’s skill levels?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Has Bridge improved the frequency of conversations you’re having with your direct reports?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Has Bridge encouraged your direct reports to take ownership of their own growth?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Anything else you want to share [open-ended]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