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Executive Resource: Email to Your Leadership Team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4"/>
          <w:szCs w:val="24"/>
          <w:shd w:fill="c9daf8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c9daf8" w:val="clear"/>
          <w:rtl w:val="0"/>
        </w:rPr>
        <w:t xml:space="preserve">Pro tip: </w:t>
      </w:r>
      <w:r w:rsidDel="00000000" w:rsidR="00000000" w:rsidRPr="00000000">
        <w:rPr>
          <w:sz w:val="24"/>
          <w:szCs w:val="24"/>
          <w:shd w:fill="c9daf8" w:val="clear"/>
          <w:rtl w:val="0"/>
        </w:rPr>
        <w:t xml:space="preserve">Send this after your kick-off with the leadership team.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Executives/Leadership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Bridge Champion/HR or L&amp;D Contact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need your help: Bridge LMS launch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[Name],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We’re getting ready to launch Bridge, our new learning and skills development platform. It will help us close talent gaps, improve retention, and streamline the delivery of training.</w:t>
            </w:r>
          </w:p>
          <w:p w:rsidR="00000000" w:rsidDel="00000000" w:rsidP="00000000" w:rsidRDefault="00000000" w:rsidRPr="00000000" w14:paraId="0000000C">
            <w:pPr>
              <w:rPr>
                <w:rFonts w:ascii="Work Sans SemiBold" w:cs="Work Sans SemiBold" w:eastAsia="Work Sans SemiBold" w:hAnsi="Work Sans SemiBold"/>
              </w:rPr>
            </w:pPr>
            <w:r w:rsidDel="00000000" w:rsidR="00000000" w:rsidRPr="00000000">
              <w:rPr>
                <w:rFonts w:ascii="Work Sans SemiBold" w:cs="Work Sans SemiBold" w:eastAsia="Work Sans SemiBold" w:hAnsi="Work Sans SemiBold"/>
                <w:rtl w:val="0"/>
              </w:rPr>
              <w:t xml:space="preserve">How you can help: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Work Sans SemiBold" w:cs="Work Sans SemiBold" w:eastAsia="Work Sans SemiBold" w:hAnsi="Work Sans SemiBold"/>
              </w:rPr>
            </w:pPr>
            <w:r w:rsidDel="00000000" w:rsidR="00000000" w:rsidRPr="00000000">
              <w:rPr>
                <w:rtl w:val="0"/>
              </w:rPr>
              <w:t xml:space="preserve">Please communicate the importance of this initiative with your directors and managers.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Work Sans SemiBold" w:cs="Work Sans SemiBold" w:eastAsia="Work Sans SemiBold" w:hAnsi="Work Sans SemiBold"/>
              </w:rPr>
            </w:pPr>
            <w:r w:rsidDel="00000000" w:rsidR="00000000" w:rsidRPr="00000000">
              <w:rPr>
                <w:rFonts w:ascii="Work Sans SemiBold" w:cs="Work Sans SemiBold" w:eastAsia="Work Sans SemiBold" w:hAnsi="Work Sans SemiBold"/>
                <w:rtl w:val="0"/>
              </w:rPr>
              <w:t xml:space="preserve">Reminder: We’re investing in Bridge because it gives us: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Visibility into organizational gaps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Tools to help our managers manage better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Personalized course recommendations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 mentorship culture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Help staying compliant with mandatory training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View this deck</w:t>
              </w:r>
            </w:hyperlink>
            <w:r w:rsidDel="00000000" w:rsidR="00000000" w:rsidRPr="00000000">
              <w:rPr>
                <w:rtl w:val="0"/>
              </w:rPr>
              <w:t xml:space="preserve"> to get more information about Bridge.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e101a"/>
                <w:rtl w:val="0"/>
              </w:rPr>
              <w:t xml:space="preserve">Try the Bridge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Career Drivers</w:t>
              </w:r>
            </w:hyperlink>
            <w:r w:rsidDel="00000000" w:rsidR="00000000" w:rsidRPr="00000000">
              <w:rPr>
                <w:color w:val="0e101a"/>
                <w:rtl w:val="0"/>
              </w:rPr>
              <w:t xml:space="preserve"> exercise with your directors.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Research shows that HR tools succeed at a 68% higher rate when leadership is involved. We need your influential voice to signal that Bridge is a company priority!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Thank you for your partnership,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[Your Name]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etbridge.com/rollout-resources/Bridge%20Rollout%20Resource%20-%20Full%20Suite.pptx" TargetMode="External"/><Relationship Id="rId7" Type="http://schemas.openxmlformats.org/officeDocument/2006/relationships/hyperlink" Target="https://www.getbridge.com/career-driver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Relationship Id="rId5" Type="http://schemas.openxmlformats.org/officeDocument/2006/relationships/font" Target="fonts/WorkSansSemiBold-regular.ttf"/><Relationship Id="rId6" Type="http://schemas.openxmlformats.org/officeDocument/2006/relationships/font" Target="fonts/WorkSansSemiBold-bold.ttf"/><Relationship Id="rId7" Type="http://schemas.openxmlformats.org/officeDocument/2006/relationships/font" Target="fonts/WorkSansSemiBold-italic.ttf"/><Relationship Id="rId8" Type="http://schemas.openxmlformats.org/officeDocument/2006/relationships/font" Target="fonts/WorkSans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