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sz w:val="20"/>
          <w:szCs w:val="20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Manager Resource: Email Template for Managers to Send to Their Direct Reports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Employees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Manager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 ready for Bridge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Team,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[Exec name]</w:t>
            </w:r>
            <w:r w:rsidDel="00000000" w:rsidR="00000000" w:rsidRPr="00000000">
              <w:rPr>
                <w:rtl w:val="0"/>
              </w:rPr>
              <w:t xml:space="preserve"> recently shared an email about a new platform we’ll be using called Bridge.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This is exciting because </w:t>
            </w:r>
            <w:r w:rsidDel="00000000" w:rsidR="00000000" w:rsidRPr="00000000">
              <w:rPr>
                <w:highlight w:val="yellow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  <w:t xml:space="preserve"> is investing in our development and growth. When we all use Bridge as a team, it’ll help us track our goals and build new skills.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We’ll Be Using Bridge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Developing our skills through learning and mentorship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Creating development plans to support your skills growth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Completing our required training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Improving our skillsets by getting and giving skills feedback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Building career paths by finding relevant job roles and identifying skills gaps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What’s Next?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We’ll start using Bridge in [two weeks], but in the meantime, here’s what you need to 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Log into your account by </w:t>
            </w: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Get familiar with the platform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Add all of your skills to your profile by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If you have any questions or you need help getting started, let me know!</w:t>
            </w:r>
          </w:p>
          <w:p w:rsidR="00000000" w:rsidDel="00000000" w:rsidP="00000000" w:rsidRDefault="00000000" w:rsidRPr="00000000" w14:paraId="0000001B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Name]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